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7C" w:rsidRPr="007F38A5" w:rsidRDefault="00CA717C" w:rsidP="00CA717C">
      <w:pPr>
        <w:ind w:left="-720" w:right="-828"/>
        <w:rPr>
          <w:rFonts w:ascii="Impact" w:hAnsi="Impact"/>
          <w:sz w:val="30"/>
          <w:szCs w:val="30"/>
          <w:lang w:val="bs-Latn-BA"/>
        </w:rPr>
      </w:pPr>
      <w:r w:rsidRPr="007F38A5">
        <w:rPr>
          <w:rFonts w:ascii="Impact" w:hAnsi="Impact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B1F75B2" wp14:editId="10F30D20">
            <wp:simplePos x="0" y="0"/>
            <wp:positionH relativeFrom="column">
              <wp:posOffset>38792</wp:posOffset>
            </wp:positionH>
            <wp:positionV relativeFrom="paragraph">
              <wp:posOffset>5715</wp:posOffset>
            </wp:positionV>
            <wp:extent cx="1192695" cy="462708"/>
            <wp:effectExtent l="0" t="0" r="7620" b="0"/>
            <wp:wrapSquare wrapText="bothSides"/>
            <wp:docPr id="2" name="Picture 2" descr="C:\Users\UPKP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KP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95" cy="46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8A5">
        <w:rPr>
          <w:rFonts w:ascii="Impact" w:hAnsi="Impact"/>
          <w:sz w:val="30"/>
          <w:szCs w:val="30"/>
          <w:lang w:val="bs-Latn-BA"/>
        </w:rPr>
        <w:t xml:space="preserve">    UDRUŽENJE/UDRUGA  POSLODAVACA  KOMUNALNE  PRIVREDE  U  FBIH</w:t>
      </w:r>
    </w:p>
    <w:p w:rsidR="00CA717C" w:rsidRPr="007F38A5" w:rsidRDefault="00CA717C" w:rsidP="00CA717C">
      <w:pPr>
        <w:rPr>
          <w:b/>
          <w:i/>
          <w:sz w:val="18"/>
          <w:szCs w:val="18"/>
          <w:lang w:val="bs-Latn-BA"/>
        </w:rPr>
      </w:pPr>
      <w:r w:rsidRPr="007F38A5">
        <w:rPr>
          <w:b/>
          <w:sz w:val="18"/>
          <w:szCs w:val="18"/>
          <w:lang w:val="bs-Latn-BA"/>
        </w:rPr>
        <w:t xml:space="preserve">    </w:t>
      </w:r>
      <w:r w:rsidRPr="007F38A5">
        <w:rPr>
          <w:b/>
          <w:i/>
          <w:sz w:val="20"/>
          <w:szCs w:val="20"/>
          <w:lang w:val="bs-Latn-BA"/>
        </w:rPr>
        <w:t>Tel/fax: +387 33 217 419</w:t>
      </w:r>
      <w:r w:rsidRPr="007F38A5">
        <w:rPr>
          <w:b/>
          <w:i/>
          <w:lang w:val="bs-Latn-BA"/>
        </w:rPr>
        <w:t xml:space="preserve">   </w:t>
      </w:r>
      <w:r w:rsidRPr="007F38A5">
        <w:rPr>
          <w:b/>
          <w:i/>
          <w:sz w:val="20"/>
          <w:szCs w:val="20"/>
          <w:lang w:val="bs-Latn-BA"/>
        </w:rPr>
        <w:t>e-mail:</w:t>
      </w:r>
      <w:hyperlink r:id="rId9" w:history="1">
        <w:r w:rsidRPr="007F38A5">
          <w:rPr>
            <w:rStyle w:val="Hyperlink"/>
            <w:b/>
            <w:i/>
            <w:sz w:val="20"/>
            <w:szCs w:val="20"/>
            <w:lang w:val="bs-Latn-BA"/>
          </w:rPr>
          <w:t>upkp@bih.net.ba</w:t>
        </w:r>
      </w:hyperlink>
      <w:r w:rsidRPr="007F38A5">
        <w:rPr>
          <w:b/>
          <w:i/>
          <w:sz w:val="20"/>
          <w:szCs w:val="20"/>
          <w:lang w:val="bs-Latn-BA"/>
        </w:rPr>
        <w:t xml:space="preserve">    </w:t>
      </w:r>
      <w:hyperlink r:id="rId10" w:history="1">
        <w:r w:rsidRPr="007F38A5">
          <w:rPr>
            <w:rStyle w:val="Hyperlink"/>
            <w:b/>
            <w:i/>
            <w:sz w:val="20"/>
            <w:szCs w:val="20"/>
            <w:lang w:val="bs-Latn-BA"/>
          </w:rPr>
          <w:t>www.upkp.com.ba</w:t>
        </w:r>
      </w:hyperlink>
      <w:r w:rsidRPr="007F38A5">
        <w:rPr>
          <w:b/>
          <w:i/>
          <w:sz w:val="20"/>
          <w:szCs w:val="20"/>
          <w:lang w:val="bs-Latn-BA"/>
        </w:rPr>
        <w:t xml:space="preserve">    </w:t>
      </w:r>
      <w:r w:rsidRPr="007F38A5">
        <w:rPr>
          <w:b/>
          <w:i/>
          <w:sz w:val="18"/>
          <w:szCs w:val="18"/>
          <w:lang w:val="bs-Latn-BA"/>
        </w:rPr>
        <w:t>Jadranska bb, Sarajevo</w:t>
      </w:r>
    </w:p>
    <w:p w:rsidR="00CA717C" w:rsidRPr="007F38A5" w:rsidRDefault="00CA717C" w:rsidP="00CA717C">
      <w:pPr>
        <w:rPr>
          <w:b/>
          <w:i/>
          <w:sz w:val="18"/>
          <w:szCs w:val="18"/>
          <w:lang w:val="bs-Latn-BA"/>
        </w:rPr>
      </w:pPr>
      <w:r w:rsidRPr="007F38A5">
        <w:rPr>
          <w:b/>
          <w:sz w:val="18"/>
          <w:szCs w:val="18"/>
          <w:lang w:val="bs-Latn-BA"/>
        </w:rPr>
        <w:t xml:space="preserve">    </w:t>
      </w:r>
      <w:r w:rsidRPr="007F38A5">
        <w:rPr>
          <w:b/>
          <w:i/>
          <w:sz w:val="18"/>
          <w:szCs w:val="18"/>
          <w:lang w:val="bs-Latn-BA"/>
        </w:rPr>
        <w:t xml:space="preserve">ID broj: 4200074940009        </w:t>
      </w:r>
      <w:r w:rsidRPr="007F38A5">
        <w:rPr>
          <w:b/>
          <w:i/>
          <w:sz w:val="16"/>
          <w:szCs w:val="16"/>
          <w:lang w:val="bs-Latn-BA"/>
        </w:rPr>
        <w:t>INTESA SANPAOLO</w:t>
      </w:r>
      <w:r w:rsidRPr="007F38A5">
        <w:rPr>
          <w:b/>
          <w:i/>
          <w:sz w:val="18"/>
          <w:szCs w:val="18"/>
          <w:lang w:val="bs-Latn-BA"/>
        </w:rPr>
        <w:t xml:space="preserve"> banka: 1540011100646166</w:t>
      </w:r>
    </w:p>
    <w:p w:rsidR="00CA717C" w:rsidRPr="007F38A5" w:rsidRDefault="00CA717C" w:rsidP="00532B2D">
      <w:pPr>
        <w:rPr>
          <w:lang w:val="bs-Latn-BA"/>
        </w:rPr>
      </w:pPr>
    </w:p>
    <w:p w:rsidR="00CA717C" w:rsidRPr="007F38A5" w:rsidRDefault="00CA717C" w:rsidP="00CA717C">
      <w:pPr>
        <w:rPr>
          <w:lang w:val="bs-Latn-BA"/>
        </w:rPr>
      </w:pPr>
    </w:p>
    <w:p w:rsidR="000F2A7C" w:rsidRPr="007F38A5" w:rsidRDefault="000F2A7C" w:rsidP="000F2A7C">
      <w:pPr>
        <w:jc w:val="center"/>
        <w:rPr>
          <w:rFonts w:asciiTheme="minorHAnsi" w:hAnsiTheme="minorHAnsi" w:cstheme="minorHAnsi"/>
          <w:b/>
          <w:lang w:val="bs-Latn-BA"/>
        </w:rPr>
      </w:pPr>
    </w:p>
    <w:p w:rsidR="000F2A7C" w:rsidRPr="007F38A5" w:rsidRDefault="000F2A7C" w:rsidP="000F2A7C">
      <w:pPr>
        <w:jc w:val="center"/>
        <w:rPr>
          <w:rFonts w:asciiTheme="minorHAnsi" w:hAnsiTheme="minorHAnsi" w:cstheme="minorHAnsi"/>
          <w:b/>
          <w:lang w:val="bs-Latn-BA"/>
        </w:rPr>
      </w:pPr>
      <w:r w:rsidRPr="007F38A5">
        <w:rPr>
          <w:rFonts w:asciiTheme="minorHAnsi" w:hAnsiTheme="minorHAnsi" w:cstheme="minorHAnsi"/>
          <w:b/>
          <w:lang w:val="bs-Latn-BA"/>
        </w:rPr>
        <w:t>„UTICAJ PANDEMIJE CORONA VIRUS NA KOMUNALNU PRIVREDU: Kratkoročne i dugoročne posljedice“</w:t>
      </w:r>
    </w:p>
    <w:p w:rsidR="000F2A7C" w:rsidRPr="007F38A5" w:rsidRDefault="000F2A7C" w:rsidP="000F2A7C">
      <w:pPr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Iza nas je dvadeset mjeseci izazova, neizvjesnosti, straha, pritiska, novih zahtjeva, novih ili drugačijih uslova rada, kao i svakodnevna borba i bojazan za zdravlje svakog pojedinca, ali i radnog kolektiva, kao i uže i šire društvene zajednice. U ovim i ovakvim okolnostima smo radili, živjeli i realizovali razne aktivnosti i projekte svi skupa, i svako je pojedinačno ali i kao dio tima, grupe ili organizacije davao svoj doprinos u borbi protiv nevidljivog ali dokazano prisutnog i vrlo opasnog neprijatelja - corona virusa, koji izaziva oboljenje COVID-19 i zbog kojeg je proglašena i još je na snazi PANDEMIJA u cijelom Svijetu. Na žalost svih nas, ovome ni nakon dvadeset mjeseci nije kraj! Čak šta više, povremeno se stiče dojam da mnoge mjere, propisi i aktivnosti koje su nam propisale nadležne institucije, i ne daju očekivane efekte. Sve češće i sve više se čuju izjave i komentari koji govore o tome da pandemija neće tako brzo završiti, te da mi treba što prije da prihvatimo život i rad sa virusom oko nas i sa mjerama koje nam propisuju. Shodno svemu ovome, sasvim je jasno da je pandemija već dala i daje kratkoročne negativne efekte na svakodnevni život i rad u cijelom svijetu, a dugoročne negativne efekte možemo predvidjeti i pretpostaviti kakvi će biti. 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Efekte i posljedice ovakvog stanja, ove nametnute svakodnevnice, smo osjetili i nažalost osjećamo i dalje, svi mi, kako u privatnom tako i u poslovnom smislu. Različite su reflekcije, uticaj i posljedice proizašle iz ovoga u zavisnosti kojoj branši ili djelatnosti ko pripada, u smislu poslovnog ambijenta i radnih obaveza i zadataka. 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U nastavku ovog dokumenta fokus će biti na komunalnu privredu/djelatnost, na poslodavce komunalne privrede i na uposlenike iste. Važnost komunalne privrede i usluga koje dajemo je svima poznata, ali istovremeno nedovoljno cijenjena od nadležnih. Pažnja i podrška se u vrlo malom obimu daje u normalnim okolnostima, a uglavnom se značaj i važnost komunalne privrede i usluga prepoznaje u kriznim ili vanrednim situacijama. Komunalne usluge predstavljaju usluge od javnog interesa i nezamjenjiv su dio normalnog života i rada svakog pojedinca ali i kolektiva tj. privrednog (javnog ili privatnog) subjekta. 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Iako je izostala brza i efikasna podrška od osnivača i nadležnih institucija, komunalna preduzeća su se vrlo brzo i efikasno organizovala i poduzela dodatne mjere zaštite radnika, a sve u cilju da korisnicima naših usluga, ali i svim sugrađanima ne bude uskraćen optimalan nivo usluga. I pored toga, sa zadovoljstvom možemo konstatovati da je komunalna privreda u FBiH ispunila svoj zadatak, a da pri tome nisu zabilježene masovne zaraze radnika (naravno, pojedinačnih slučajeva i obolijevanja je bilo). 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 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Kako bi se pravilno razumjela pozicija i važnost komunalnih preduzeća, između ostalih, potrebno je navesti sljedeće usluge: distribucija pitke vode, odvodnja otpadnih voda, distribucija toplotne energije/plina, preuzimanje i zbrinjavanje komunalnog otpada, kao i posebnih kategorija otpada, upravljanje parkinzima, tržnicama/pijacama, grobljima, te uređenje i čišćenje zelenih površina, putnih pojasa, gradskih i prigradskih saobraćajnica, trgova, parkova, trotoara, pješačkih staza itd. Iz ovoga se jasno da zaključiti, da je spektar usluga i obim istih veoma širok, sa veoma velikim brojem korisnika, a sve to komplikuje realizaciju i naplatu istih.</w:t>
      </w:r>
    </w:p>
    <w:p w:rsidR="007F38A5" w:rsidRPr="007F38A5" w:rsidRDefault="007F38A5" w:rsidP="000F2A7C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Potpuno je pogrešno mišljenje koje se često iznosi u javnosti da se komunalna preduzeća finansiraju iz budžeta njihovih osnivača, što nije tačno, jer su komunalna preduzeća privredna društva i posluju u skladu sa Zakonom o privrednim društvima i Zakonom o javnim preduzećima. 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lastRenderedPageBreak/>
        <w:t>Udruženje/Udruga poslodavaca komunalne privrede u FBiH je od početka nastale krize uzrokovane pandemijom aktivno sarađivalo sa svojim članicama i pokušavalo pomoći u prevazilaženju nastale situacije, jer je rezultat ovakvog stanja i svih propisanih zabrana i naredbi bio direktna finansijska šteta prema preduzećima, koja se ogleda u drastično smanjenoj naplati računa za komunalne usluge na blagajnama preduzeća, a također i putem poslovnih banaka, kako od građana tako i od strane privrednih subjekata, pa i budžetskih korisnika. Ovo je posebno bilo izraženo u 2020. godini i smatra se jednom od najvažnijih kratkoročnih negativnih posljedica pandemije po komunalnu privredu.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Zbog zaraženosti virusom ili zbog ostvarenog kontakta sa zaraženom osobom, od strane uposlenika komunalne privrede, sva preduzeća komunalne privrede su se tokom 2020. i 2021. godine, suočavala sa drugom važnom kratkoročnom negativnom posljedicom, a to je neplanirano odsustvo više uposlenika, u više navrata tokom godine.  Ovakva situacija je za rezultat imala smanjenje efikasnosti i efektivnosti u realizaciji mjera, aktivnosti i projekata. 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Parlament Federacije BiH je 2020. godine usvojio Zakon o ublažavanju negativnih ekonomskih posljedica Pandemije, ali istim nisu obuhvaćena javna komunalna preduzeća, niti im je dat bilo kakav prioritet u ublažavanju negativnih ekonomskih posljedica uzrokovanih stanjem pandemije COVID-19. Pored ovoga osnivači su usljed smanjenog priliva sredstava u budžete, svoje aktivnosti usmjerili uglavnom na zdravstveni sistem, policiju, obrazovanje i dijelom privredu, a komunalna preduzeća su prepuštena sama sebi. 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Usljed smanjenog priliva sredstava u budžete Kantona i FBiH, a uvećane potrebe zdravstvenog sektora za sredstvima, s tim u vezi u 2020. godini, veliki dio komunalnih preduzeća ostao je uskraćen za redovne godišnje prihode od javnih poziva i grantova, što je također jedna od važnih kratkoročnih negativnih posljedica za našu djelatnost. 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Udruženje/Udruga poslodavaca komunalne privrede u FBiH je tokom 2020. ali i 2021. godine pripremilo i dostavilo više zahtjeva i prijedloga za prevazilaženje teškoća u poslovanju JKP u FBiH za vrijeme pandemije COVID-19, svim nivoima vlasti, kao i koordinacionom odboru za stabilizaciju privrede i sanaciju negativnih posljedica pandemije u FBiH, ali nije bilo nikakvog odziva niti pozitivne reakcije. 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Krajem 2020. godine urađena je analiza finansijskih pokazatelja poslovanja komunalnih preduzeća u FBiH, a ista je pokazala poremećaj likvidnost poslovanja komunalnih preduzeća, određene gubitke u poslovanju, smanjen stepen naplate usluga, a u kontaktu sa našim članicama smo dobili okvirne finansijske podatke koji ovo potvrđuju. Prema obrađenim podacima, prikupljenim od naših članica, zaključujeno je da se radilo o milionskim gubicima. </w:t>
      </w:r>
    </w:p>
    <w:p w:rsidR="000F2A7C" w:rsidRPr="007F38A5" w:rsidRDefault="000F2A7C" w:rsidP="000F2A7C">
      <w:pPr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Dakle, kada su u pitanju </w:t>
      </w:r>
      <w:r w:rsidRPr="007F38A5">
        <w:rPr>
          <w:rFonts w:asciiTheme="minorHAnsi" w:hAnsiTheme="minorHAnsi" w:cstheme="minorHAnsi"/>
          <w:b/>
          <w:lang w:val="bs-Latn-BA"/>
        </w:rPr>
        <w:t>kratkoročne negativne posljedice</w:t>
      </w:r>
      <w:r w:rsidRPr="007F38A5">
        <w:rPr>
          <w:rFonts w:asciiTheme="minorHAnsi" w:hAnsiTheme="minorHAnsi" w:cstheme="minorHAnsi"/>
          <w:lang w:val="bs-Latn-BA"/>
        </w:rPr>
        <w:t xml:space="preserve"> pandemije corona virusa, možemo apostrofirati sljedeće:</w:t>
      </w:r>
    </w:p>
    <w:p w:rsidR="000F2A7C" w:rsidRPr="007F38A5" w:rsidRDefault="000F2A7C" w:rsidP="000F2A7C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i/>
          <w:lang w:val="bs-Latn-BA"/>
        </w:rPr>
      </w:pPr>
      <w:r w:rsidRPr="007F38A5">
        <w:rPr>
          <w:rFonts w:asciiTheme="minorHAnsi" w:hAnsiTheme="minorHAnsi" w:cstheme="minorHAnsi"/>
          <w:i/>
          <w:lang w:val="bs-Latn-BA"/>
        </w:rPr>
        <w:t>Višesedmična odsutva više uposlenika tokom 2020. i 2021. godine a usljed infekcije corona virusom ili kontakta sa osobom koja je inficirana, što dovodi do privremene smanjene efektivnosti/efikasnosti u radu.</w:t>
      </w:r>
    </w:p>
    <w:p w:rsidR="000F2A7C" w:rsidRPr="007F38A5" w:rsidRDefault="000F2A7C" w:rsidP="000F2A7C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i/>
          <w:lang w:val="bs-Latn-BA"/>
        </w:rPr>
      </w:pPr>
      <w:r w:rsidRPr="007F38A5">
        <w:rPr>
          <w:rFonts w:asciiTheme="minorHAnsi" w:hAnsiTheme="minorHAnsi" w:cstheme="minorHAnsi"/>
          <w:i/>
          <w:lang w:val="bs-Latn-BA"/>
        </w:rPr>
        <w:t>Smanjenje prihoda usljed povremenog zatvaranja pravnih subjekata (manje utrošene vode, manje sakupljenog otpada, manje korištenje kanalizacione mreže), a usljed ograničenosti u kretanju stanovništva umanjeno korištenje tržnica, parking prostora i sl.</w:t>
      </w:r>
    </w:p>
    <w:p w:rsidR="000F2A7C" w:rsidRPr="007F38A5" w:rsidRDefault="000F2A7C" w:rsidP="000F2A7C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i/>
          <w:lang w:val="bs-Latn-BA"/>
        </w:rPr>
      </w:pPr>
      <w:r w:rsidRPr="007F38A5">
        <w:rPr>
          <w:rFonts w:asciiTheme="minorHAnsi" w:hAnsiTheme="minorHAnsi" w:cstheme="minorHAnsi"/>
          <w:i/>
          <w:lang w:val="bs-Latn-BA"/>
        </w:rPr>
        <w:t>Smanjenje procenta naplate usljed ograničenog kretanja stanovništva, usljed smanjenih primanja kod stanovništva i dr.</w:t>
      </w:r>
    </w:p>
    <w:p w:rsidR="000F2A7C" w:rsidRPr="007F38A5" w:rsidRDefault="000F2A7C" w:rsidP="000F2A7C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i/>
          <w:lang w:val="bs-Latn-BA"/>
        </w:rPr>
      </w:pPr>
      <w:r w:rsidRPr="007F38A5">
        <w:rPr>
          <w:rFonts w:asciiTheme="minorHAnsi" w:hAnsiTheme="minorHAnsi" w:cstheme="minorHAnsi"/>
          <w:i/>
          <w:lang w:val="bs-Latn-BA"/>
        </w:rPr>
        <w:t>Umanjenje prihoda po osnovu proširenja obuhvata i broja korisnika vodnih usluga, te usloga zbrinjavanja komunalnog otpada</w:t>
      </w:r>
    </w:p>
    <w:p w:rsidR="000F2A7C" w:rsidRPr="007F38A5" w:rsidRDefault="000F2A7C" w:rsidP="000F2A7C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i/>
          <w:lang w:val="bs-Latn-BA"/>
        </w:rPr>
      </w:pPr>
      <w:r w:rsidRPr="007F38A5">
        <w:rPr>
          <w:rFonts w:asciiTheme="minorHAnsi" w:hAnsiTheme="minorHAnsi" w:cstheme="minorHAnsi"/>
          <w:i/>
          <w:lang w:val="bs-Latn-BA"/>
        </w:rPr>
        <w:t>Umanjenje prihoda po osnovu grantova na nivou Kantona i FBiH.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lastRenderedPageBreak/>
        <w:t>U cilju prikupljanja aktuelnih podataka i informacija od članica Udruženja, a radi analize istih i izdvajanja određenih činjenica i zaključaka, pripremljen je upitnik i dostavljen članicama Udruženja/Udruge na popunu. Nakon isteka roka ostavljenog za popunu i dostavu, ukupno smo zaprimili 41 popunjen upitnik sljedeće strukture: 21 (mix), 9 (ViK), 5 (toplotna energija), 4 (pokopno) i 2 (pijace/tržnice), i naravno svi su bili predmet analize. A nakon analize prikupljenih odgovora, u nastavku objedinjeni podaci, po grupama:</w:t>
      </w:r>
    </w:p>
    <w:p w:rsidR="000F2A7C" w:rsidRPr="007F38A5" w:rsidRDefault="000F2A7C" w:rsidP="000F2A7C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7F38A5">
      <w:pPr>
        <w:pStyle w:val="ListParagraph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b/>
          <w:lang w:val="bs-Latn-BA"/>
        </w:rPr>
        <w:t>Procenat naplate:</w:t>
      </w:r>
      <w:r w:rsidRPr="007F38A5">
        <w:rPr>
          <w:rFonts w:asciiTheme="minorHAnsi" w:hAnsiTheme="minorHAnsi" w:cstheme="minorHAnsi"/>
          <w:lang w:val="bs-Latn-BA"/>
        </w:rPr>
        <w:t xml:space="preserve"> u prosjeku stepen naplate je iznosio ovako: 86,78 (2019), 88,19 (2020), 88,72 (2021). Dakle stepen naplate je na istom ili sličnom nivou u posljednje 3 godine, ali druga činjenica koja nam je poznata iz prošlogodišnje analize je negativna posljedica, a to je da je fakturisani iznos u 2020</w:t>
      </w:r>
      <w:r w:rsidR="00CC7D49" w:rsidRPr="007F38A5">
        <w:rPr>
          <w:rFonts w:asciiTheme="minorHAnsi" w:hAnsiTheme="minorHAnsi" w:cstheme="minorHAnsi"/>
          <w:lang w:val="bs-Latn-BA"/>
        </w:rPr>
        <w:t>.</w:t>
      </w:r>
      <w:r w:rsidRPr="007F38A5">
        <w:rPr>
          <w:rFonts w:asciiTheme="minorHAnsi" w:hAnsiTheme="minorHAnsi" w:cstheme="minorHAnsi"/>
          <w:lang w:val="bs-Latn-BA"/>
        </w:rPr>
        <w:t xml:space="preserve"> znatno manji nego u 2019 godini, takođe i u 2021 bilježimo smanjene prihode po istom osnovu. </w:t>
      </w:r>
    </w:p>
    <w:p w:rsidR="000F2A7C" w:rsidRDefault="000F2A7C" w:rsidP="007F38A5">
      <w:pPr>
        <w:pStyle w:val="ListParagraph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b/>
          <w:lang w:val="bs-Latn-BA"/>
        </w:rPr>
        <w:t xml:space="preserve">Udio troškova energenata u ukupnim troškovima: </w:t>
      </w:r>
      <w:r w:rsidRPr="007F38A5">
        <w:rPr>
          <w:rFonts w:asciiTheme="minorHAnsi" w:hAnsiTheme="minorHAnsi" w:cstheme="minorHAnsi"/>
          <w:lang w:val="bs-Latn-BA"/>
        </w:rPr>
        <w:t>u prosjeku udio ovih troškova iznosi: 14,82 (2019) ali se isti kreću u dijapazonu od 0,08 do 70%; 14,97 (2020) ali se isti kreću</w:t>
      </w:r>
      <w:r w:rsidR="00CC7D49" w:rsidRPr="007F38A5">
        <w:rPr>
          <w:rFonts w:asciiTheme="minorHAnsi" w:hAnsiTheme="minorHAnsi" w:cstheme="minorHAnsi"/>
          <w:lang w:val="bs-Latn-BA"/>
        </w:rPr>
        <w:t xml:space="preserve"> u dijapazonu od 0,07 do 70,50%</w:t>
      </w:r>
      <w:r w:rsidRPr="007F38A5">
        <w:rPr>
          <w:rFonts w:asciiTheme="minorHAnsi" w:hAnsiTheme="minorHAnsi" w:cstheme="minorHAnsi"/>
          <w:lang w:val="bs-Latn-BA"/>
        </w:rPr>
        <w:t>, 15,81 (2021) ali se isti kreću u dijapazonu od 0,06 do 71%. Ovdje moramo posebno istaći preduzeće Sar</w:t>
      </w:r>
      <w:r w:rsidR="00CC7D49" w:rsidRPr="007F38A5">
        <w:rPr>
          <w:rFonts w:asciiTheme="minorHAnsi" w:hAnsiTheme="minorHAnsi" w:cstheme="minorHAnsi"/>
          <w:lang w:val="bs-Latn-BA"/>
        </w:rPr>
        <w:t>ajevo</w:t>
      </w:r>
      <w:r w:rsidRPr="007F38A5">
        <w:rPr>
          <w:rFonts w:asciiTheme="minorHAnsi" w:hAnsiTheme="minorHAnsi" w:cstheme="minorHAnsi"/>
          <w:lang w:val="bs-Latn-BA"/>
        </w:rPr>
        <w:t>gas sa sljedećim procentima: 0,26 (2019); 0,18 (2020); 0,19 (2021) jer je isto distributer plina. Takođe</w:t>
      </w:r>
      <w:r w:rsidR="00CC7D49" w:rsidRPr="007F38A5">
        <w:rPr>
          <w:rFonts w:asciiTheme="minorHAnsi" w:hAnsiTheme="minorHAnsi" w:cstheme="minorHAnsi"/>
          <w:lang w:val="bs-Latn-BA"/>
        </w:rPr>
        <w:t>r</w:t>
      </w:r>
      <w:r w:rsidRPr="007F38A5">
        <w:rPr>
          <w:rFonts w:asciiTheme="minorHAnsi" w:hAnsiTheme="minorHAnsi" w:cstheme="minorHAnsi"/>
          <w:lang w:val="bs-Latn-BA"/>
        </w:rPr>
        <w:t xml:space="preserve"> važno je za istaći preduzeća Toplane (kojih je 4 u ovoj analizi) gdje je u prosjeku procenat sljedeći: 55,97 (2019); 57,93 (2020); 57,32 (2021).</w:t>
      </w:r>
      <w:r w:rsidR="007F38A5">
        <w:rPr>
          <w:rFonts w:asciiTheme="minorHAnsi" w:hAnsiTheme="minorHAnsi" w:cstheme="minorHAnsi"/>
          <w:lang w:val="bs-Latn-BA"/>
        </w:rPr>
        <w:t xml:space="preserve"> </w:t>
      </w:r>
      <w:r w:rsidRPr="007F38A5">
        <w:rPr>
          <w:rFonts w:asciiTheme="minorHAnsi" w:hAnsiTheme="minorHAnsi" w:cstheme="minorHAnsi"/>
          <w:lang w:val="bs-Latn-BA"/>
        </w:rPr>
        <w:t>Kada su u pitanju razlozi povećanja troškova po ovom pitanju u nastavku su dva dijagrama koji to prikazuju:</w:t>
      </w:r>
    </w:p>
    <w:p w:rsidR="007F38A5" w:rsidRPr="007F38A5" w:rsidRDefault="007F38A5" w:rsidP="000F2A7C">
      <w:pPr>
        <w:rPr>
          <w:rFonts w:asciiTheme="minorHAnsi" w:hAnsiTheme="minorHAnsi" w:cstheme="minorHAnsi"/>
          <w:sz w:val="20"/>
          <w:lang w:val="bs-Latn-BA"/>
        </w:rPr>
      </w:pPr>
      <w:r w:rsidRPr="007F38A5">
        <w:rPr>
          <w:rFonts w:ascii="Arial Narrow" w:hAnsi="Arial Narrow"/>
          <w:b/>
          <w:bCs/>
          <w:noProof/>
          <w:sz w:val="20"/>
        </w:rPr>
        <w:drawing>
          <wp:anchor distT="0" distB="0" distL="114300" distR="114300" simplePos="0" relativeHeight="251661312" behindDoc="0" locked="0" layoutInCell="1" allowOverlap="1" wp14:anchorId="30F5B69B" wp14:editId="5D6B202A">
            <wp:simplePos x="0" y="0"/>
            <wp:positionH relativeFrom="margin">
              <wp:posOffset>3336290</wp:posOffset>
            </wp:positionH>
            <wp:positionV relativeFrom="paragraph">
              <wp:posOffset>258255</wp:posOffset>
            </wp:positionV>
            <wp:extent cx="3133725" cy="19113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A7C" w:rsidRPr="007F38A5" w:rsidRDefault="00CC7D49" w:rsidP="000F2A7C">
      <w:pPr>
        <w:rPr>
          <w:rFonts w:asciiTheme="minorHAnsi" w:hAnsiTheme="minorHAnsi" w:cstheme="minorHAnsi"/>
          <w:lang w:val="bs-Latn-BA"/>
        </w:rPr>
      </w:pPr>
      <w:r w:rsidRPr="007F38A5"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1B78679" wp14:editId="08AEB4E4">
            <wp:simplePos x="0" y="0"/>
            <wp:positionH relativeFrom="margin">
              <wp:align>left</wp:align>
            </wp:positionH>
            <wp:positionV relativeFrom="paragraph">
              <wp:posOffset>100055</wp:posOffset>
            </wp:positionV>
            <wp:extent cx="3122930" cy="191262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A7C" w:rsidRPr="007F38A5" w:rsidRDefault="00CC7D49" w:rsidP="007F38A5">
      <w:pPr>
        <w:pStyle w:val="ListParagraph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="Arial Narrow" w:eastAsia="Calibri" w:hAnsi="Arial Narrow"/>
          <w:b/>
          <w:bCs/>
          <w:noProof/>
          <w:lang w:val="hr-HR" w:eastAsia="hr-HR"/>
        </w:rPr>
        <w:drawing>
          <wp:anchor distT="0" distB="0" distL="114300" distR="114300" simplePos="0" relativeHeight="251662336" behindDoc="0" locked="0" layoutInCell="1" allowOverlap="1" wp14:anchorId="3AA4D4A0" wp14:editId="607DCDEC">
            <wp:simplePos x="0" y="0"/>
            <wp:positionH relativeFrom="margin">
              <wp:align>center</wp:align>
            </wp:positionH>
            <wp:positionV relativeFrom="paragraph">
              <wp:posOffset>870154</wp:posOffset>
            </wp:positionV>
            <wp:extent cx="3352063" cy="1980000"/>
            <wp:effectExtent l="0" t="0" r="1270" b="127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063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A7C" w:rsidRPr="007F38A5">
        <w:rPr>
          <w:rFonts w:asciiTheme="minorHAnsi" w:hAnsiTheme="minorHAnsi" w:cstheme="minorHAnsi"/>
          <w:b/>
          <w:lang w:val="bs-Latn-BA"/>
        </w:rPr>
        <w:t>Povećanje cijena usluga u odnosu na prethodnu godinu:</w:t>
      </w:r>
      <w:r w:rsidR="000F2A7C" w:rsidRPr="007F38A5">
        <w:rPr>
          <w:rFonts w:asciiTheme="minorHAnsi" w:hAnsiTheme="minorHAnsi" w:cstheme="minorHAnsi"/>
          <w:lang w:val="bs-Latn-BA"/>
        </w:rPr>
        <w:t xml:space="preserve"> nažalost rezultati po ovom pitanju su očekivano ovakvi, ovakvi rezultati po ovom p</w:t>
      </w:r>
      <w:r w:rsidRPr="007F38A5">
        <w:rPr>
          <w:rFonts w:asciiTheme="minorHAnsi" w:hAnsiTheme="minorHAnsi" w:cstheme="minorHAnsi"/>
          <w:lang w:val="bs-Latn-BA"/>
        </w:rPr>
        <w:t>i</w:t>
      </w:r>
      <w:r w:rsidR="000F2A7C" w:rsidRPr="007F38A5">
        <w:rPr>
          <w:rFonts w:asciiTheme="minorHAnsi" w:hAnsiTheme="minorHAnsi" w:cstheme="minorHAnsi"/>
          <w:lang w:val="bs-Latn-BA"/>
        </w:rPr>
        <w:t>tanju imaju višestruke negativne implikacije na poslovanje i egzistencija komunalnih preduzeća, ako i na kvalitet usluga koje ista pružaju. U nastavku je dijagramski prikaz iz kojeg je sve vrlo jasno:</w:t>
      </w:r>
    </w:p>
    <w:p w:rsidR="000F2A7C" w:rsidRPr="007F38A5" w:rsidRDefault="00CC7D49" w:rsidP="00CC7D49">
      <w:pPr>
        <w:tabs>
          <w:tab w:val="left" w:pos="4171"/>
        </w:tabs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ab/>
      </w:r>
      <w:r w:rsidR="000F2A7C" w:rsidRPr="007F38A5">
        <w:rPr>
          <w:rFonts w:asciiTheme="minorHAnsi" w:hAnsiTheme="minorHAnsi" w:cstheme="minorHAnsi"/>
          <w:lang w:val="bs-Latn-BA"/>
        </w:rPr>
        <w:t xml:space="preserve"> </w:t>
      </w:r>
    </w:p>
    <w:p w:rsidR="000F2A7C" w:rsidRPr="007F38A5" w:rsidRDefault="000F2A7C" w:rsidP="007F38A5">
      <w:pPr>
        <w:pStyle w:val="ListParagraph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b/>
          <w:lang w:val="bs-Latn-BA"/>
        </w:rPr>
        <w:t>Broj uposlenika koji su napustili Preduzeće zbog niskih primanja:</w:t>
      </w:r>
      <w:r w:rsidRPr="007F38A5">
        <w:rPr>
          <w:rFonts w:asciiTheme="minorHAnsi" w:hAnsiTheme="minorHAnsi" w:cstheme="minorHAnsi"/>
          <w:lang w:val="bs-Latn-BA"/>
        </w:rPr>
        <w:t xml:space="preserve"> kada su u pitanju rezultati po ovom pitanju, bar što se tiče ovih 41 komunaln</w:t>
      </w:r>
      <w:r w:rsidR="00F33ECD" w:rsidRPr="007F38A5">
        <w:rPr>
          <w:rFonts w:asciiTheme="minorHAnsi" w:hAnsiTheme="minorHAnsi" w:cstheme="minorHAnsi"/>
          <w:lang w:val="bs-Latn-BA"/>
        </w:rPr>
        <w:t>ih</w:t>
      </w:r>
      <w:r w:rsidRPr="007F38A5">
        <w:rPr>
          <w:rFonts w:asciiTheme="minorHAnsi" w:hAnsiTheme="minorHAnsi" w:cstheme="minorHAnsi"/>
          <w:lang w:val="bs-Latn-BA"/>
        </w:rPr>
        <w:t xml:space="preserve"> preduzeć</w:t>
      </w:r>
      <w:r w:rsidR="00F33ECD" w:rsidRPr="007F38A5">
        <w:rPr>
          <w:rFonts w:asciiTheme="minorHAnsi" w:hAnsiTheme="minorHAnsi" w:cstheme="minorHAnsi"/>
          <w:lang w:val="bs-Latn-BA"/>
        </w:rPr>
        <w:t>a</w:t>
      </w:r>
      <w:r w:rsidRPr="007F38A5">
        <w:rPr>
          <w:rFonts w:asciiTheme="minorHAnsi" w:hAnsiTheme="minorHAnsi" w:cstheme="minorHAnsi"/>
          <w:lang w:val="bs-Latn-BA"/>
        </w:rPr>
        <w:t xml:space="preserve"> koj</w:t>
      </w:r>
      <w:r w:rsidR="00F33ECD" w:rsidRPr="007F38A5">
        <w:rPr>
          <w:rFonts w:asciiTheme="minorHAnsi" w:hAnsiTheme="minorHAnsi" w:cstheme="minorHAnsi"/>
          <w:lang w:val="bs-Latn-BA"/>
        </w:rPr>
        <w:t>a su</w:t>
      </w:r>
      <w:r w:rsidRPr="007F38A5">
        <w:rPr>
          <w:rFonts w:asciiTheme="minorHAnsi" w:hAnsiTheme="minorHAnsi" w:cstheme="minorHAnsi"/>
          <w:lang w:val="bs-Latn-BA"/>
        </w:rPr>
        <w:t xml:space="preserve"> uzel</w:t>
      </w:r>
      <w:r w:rsidR="00F33ECD" w:rsidRPr="007F38A5">
        <w:rPr>
          <w:rFonts w:asciiTheme="minorHAnsi" w:hAnsiTheme="minorHAnsi" w:cstheme="minorHAnsi"/>
          <w:lang w:val="bs-Latn-BA"/>
        </w:rPr>
        <w:t>a</w:t>
      </w:r>
      <w:r w:rsidRPr="007F38A5">
        <w:rPr>
          <w:rFonts w:asciiTheme="minorHAnsi" w:hAnsiTheme="minorHAnsi" w:cstheme="minorHAnsi"/>
          <w:lang w:val="bs-Latn-BA"/>
        </w:rPr>
        <w:t xml:space="preserve"> učešće u anketi i popunil</w:t>
      </w:r>
      <w:r w:rsidR="00F33ECD" w:rsidRPr="007F38A5">
        <w:rPr>
          <w:rFonts w:asciiTheme="minorHAnsi" w:hAnsiTheme="minorHAnsi" w:cstheme="minorHAnsi"/>
          <w:lang w:val="bs-Latn-BA"/>
        </w:rPr>
        <w:t>a</w:t>
      </w:r>
      <w:r w:rsidRPr="007F38A5">
        <w:rPr>
          <w:rFonts w:asciiTheme="minorHAnsi" w:hAnsiTheme="minorHAnsi" w:cstheme="minorHAnsi"/>
          <w:lang w:val="bs-Latn-BA"/>
        </w:rPr>
        <w:t xml:space="preserve"> upitnik, vidljivo je da je trend pozitivan, a izgleda ovako: 17 (2019); 11 (2020); 6 (2021). Razlozi ovakvog pozitivnog trenda su vjerovatno u tome da</w:t>
      </w:r>
      <w:r w:rsidR="00F33ECD" w:rsidRPr="007F38A5">
        <w:rPr>
          <w:rFonts w:asciiTheme="minorHAnsi" w:hAnsiTheme="minorHAnsi" w:cstheme="minorHAnsi"/>
          <w:lang w:val="bs-Latn-BA"/>
        </w:rPr>
        <w:t xml:space="preserve"> je</w:t>
      </w:r>
      <w:r w:rsidRPr="007F38A5">
        <w:rPr>
          <w:rFonts w:asciiTheme="minorHAnsi" w:hAnsiTheme="minorHAnsi" w:cstheme="minorHAnsi"/>
          <w:lang w:val="bs-Latn-BA"/>
        </w:rPr>
        <w:t xml:space="preserve"> prosj</w:t>
      </w:r>
      <w:r w:rsidR="00F33ECD" w:rsidRPr="007F38A5">
        <w:rPr>
          <w:rFonts w:asciiTheme="minorHAnsi" w:hAnsiTheme="minorHAnsi" w:cstheme="minorHAnsi"/>
          <w:lang w:val="bs-Latn-BA"/>
        </w:rPr>
        <w:t xml:space="preserve">ečna starosna dob uposlenika </w:t>
      </w:r>
      <w:r w:rsidR="007F38A5" w:rsidRPr="007F38A5">
        <w:rPr>
          <w:rFonts w:asciiTheme="minorHAnsi" w:hAnsiTheme="minorHAnsi" w:cstheme="minorHAnsi"/>
          <w:lang w:val="bs-Latn-BA"/>
        </w:rPr>
        <w:t xml:space="preserve">visoka </w:t>
      </w:r>
      <w:r w:rsidRPr="007F38A5">
        <w:rPr>
          <w:rFonts w:asciiTheme="minorHAnsi" w:hAnsiTheme="minorHAnsi" w:cstheme="minorHAnsi"/>
          <w:lang w:val="bs-Latn-BA"/>
        </w:rPr>
        <w:t>pa se teže donosi odluka o promjeni poslodavca, možda i polna i obrazovna struktura takođe</w:t>
      </w:r>
      <w:r w:rsidR="00CC7D49" w:rsidRPr="007F38A5">
        <w:rPr>
          <w:rFonts w:asciiTheme="minorHAnsi" w:hAnsiTheme="minorHAnsi" w:cstheme="minorHAnsi"/>
          <w:lang w:val="bs-Latn-BA"/>
        </w:rPr>
        <w:t>r</w:t>
      </w:r>
      <w:r w:rsidRPr="007F38A5">
        <w:rPr>
          <w:rFonts w:asciiTheme="minorHAnsi" w:hAnsiTheme="minorHAnsi" w:cstheme="minorHAnsi"/>
          <w:lang w:val="bs-Latn-BA"/>
        </w:rPr>
        <w:t xml:space="preserve"> doprinose tome, ali i određeni nivo sigurnosti u redovna primanja bez obzira na visinu (jer poznata je činjenica da vrlo </w:t>
      </w:r>
      <w:r w:rsidRPr="007F38A5">
        <w:rPr>
          <w:rFonts w:asciiTheme="minorHAnsi" w:hAnsiTheme="minorHAnsi" w:cstheme="minorHAnsi"/>
          <w:lang w:val="bs-Latn-BA"/>
        </w:rPr>
        <w:lastRenderedPageBreak/>
        <w:t>visok procenat uposlenika u komunalnoj privredi je kreditno zadužen te da sigurnost i stabilnos</w:t>
      </w:r>
      <w:r w:rsidR="005F6884">
        <w:rPr>
          <w:rFonts w:asciiTheme="minorHAnsi" w:hAnsiTheme="minorHAnsi" w:cstheme="minorHAnsi"/>
          <w:lang w:val="bs-Latn-BA"/>
        </w:rPr>
        <w:t>t</w:t>
      </w:r>
      <w:r w:rsidRPr="007F38A5">
        <w:rPr>
          <w:rFonts w:asciiTheme="minorHAnsi" w:hAnsiTheme="minorHAnsi" w:cstheme="minorHAnsi"/>
          <w:lang w:val="bs-Latn-BA"/>
        </w:rPr>
        <w:t xml:space="preserve"> u redovnom izmirenju obaveze vidi ipak tu gdje trenutno radi). </w:t>
      </w:r>
    </w:p>
    <w:p w:rsidR="000F2A7C" w:rsidRPr="007F38A5" w:rsidRDefault="000F2A7C" w:rsidP="00CC7D49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CC7D49" w:rsidP="007F38A5">
      <w:pPr>
        <w:pStyle w:val="ListParagraph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="Arial Narrow" w:eastAsia="Calibri" w:hAnsi="Arial Narrow"/>
          <w:b/>
          <w:bCs/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2A5BC84A" wp14:editId="1E1F88FD">
            <wp:simplePos x="0" y="0"/>
            <wp:positionH relativeFrom="margin">
              <wp:align>center</wp:align>
            </wp:positionH>
            <wp:positionV relativeFrom="paragraph">
              <wp:posOffset>697386</wp:posOffset>
            </wp:positionV>
            <wp:extent cx="3289358" cy="1980000"/>
            <wp:effectExtent l="0" t="0" r="6350" b="127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58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A7C" w:rsidRPr="007F38A5">
        <w:rPr>
          <w:rFonts w:asciiTheme="minorHAnsi" w:hAnsiTheme="minorHAnsi" w:cstheme="minorHAnsi"/>
          <w:b/>
          <w:lang w:val="bs-Latn-BA"/>
        </w:rPr>
        <w:t xml:space="preserve">Smanjenje sredstava podrške/granta od Osnivača: </w:t>
      </w:r>
      <w:r w:rsidR="000F2A7C" w:rsidRPr="007F38A5">
        <w:rPr>
          <w:rFonts w:asciiTheme="minorHAnsi" w:hAnsiTheme="minorHAnsi" w:cstheme="minorHAnsi"/>
          <w:lang w:val="bs-Latn-BA"/>
        </w:rPr>
        <w:t>analiza odgovora po ovom pitanju ide u prilog tome da ipak nije bilo značajnijeg umanjenja Prihoda za preduzeća po ovom osnovu, a sve prikupljene odgovore smo objedinili i vidljivi su u sljedećem dijagramu:</w:t>
      </w:r>
    </w:p>
    <w:p w:rsidR="000F2A7C" w:rsidRPr="007F38A5" w:rsidRDefault="000F2A7C" w:rsidP="00CC7D49">
      <w:pPr>
        <w:jc w:val="both"/>
        <w:rPr>
          <w:rFonts w:asciiTheme="minorHAnsi" w:hAnsiTheme="minorHAnsi" w:cstheme="minorHAnsi"/>
          <w:lang w:val="bs-Latn-BA"/>
        </w:rPr>
      </w:pPr>
    </w:p>
    <w:p w:rsidR="00CC7D49" w:rsidRPr="007F38A5" w:rsidRDefault="00CC7D49" w:rsidP="007F38A5">
      <w:pPr>
        <w:pStyle w:val="ListParagraph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="Arial Narrow" w:eastAsia="Calibri" w:hAnsi="Arial Narrow"/>
          <w:b/>
          <w:bCs/>
          <w:noProof/>
          <w:lang w:val="hr-HR" w:eastAsia="hr-HR"/>
        </w:rPr>
        <w:drawing>
          <wp:anchor distT="0" distB="0" distL="114300" distR="114300" simplePos="0" relativeHeight="251664384" behindDoc="0" locked="0" layoutInCell="1" allowOverlap="1" wp14:anchorId="670CBC1E" wp14:editId="6E99CACC">
            <wp:simplePos x="0" y="0"/>
            <wp:positionH relativeFrom="margin">
              <wp:align>center</wp:align>
            </wp:positionH>
            <wp:positionV relativeFrom="paragraph">
              <wp:posOffset>718341</wp:posOffset>
            </wp:positionV>
            <wp:extent cx="3293919" cy="1980000"/>
            <wp:effectExtent l="0" t="0" r="1905" b="127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919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A7C" w:rsidRPr="007F38A5">
        <w:rPr>
          <w:rFonts w:asciiTheme="minorHAnsi" w:hAnsiTheme="minorHAnsi" w:cstheme="minorHAnsi"/>
          <w:b/>
          <w:lang w:val="bs-Latn-BA"/>
        </w:rPr>
        <w:t>Umanjenje sredstava kroz javne pozive od različitih nivoa vlasti:</w:t>
      </w:r>
      <w:r w:rsidR="000F2A7C" w:rsidRPr="007F38A5">
        <w:rPr>
          <w:rFonts w:asciiTheme="minorHAnsi" w:hAnsiTheme="minorHAnsi" w:cstheme="minorHAnsi"/>
          <w:lang w:val="bs-Latn-BA"/>
        </w:rPr>
        <w:t xml:space="preserve"> analiza odgovora po ovom pitanju ide u prilog tome da nije bilo značajnijeg umanjenja prihoda za preduzeća po ovom osnovu, a sve prikupljene odgovore smo objedinili i vidljivi su u sljedećem dijagramu:</w:t>
      </w:r>
    </w:p>
    <w:p w:rsidR="00CC7D49" w:rsidRPr="007F38A5" w:rsidRDefault="00CC7D49" w:rsidP="00CC7D49">
      <w:pPr>
        <w:pStyle w:val="ListParagrap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7F38A5">
      <w:pPr>
        <w:pStyle w:val="ListParagraph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b/>
          <w:lang w:val="bs-Latn-BA"/>
        </w:rPr>
        <w:t>Da li ste</w:t>
      </w:r>
      <w:r w:rsidR="00F33ECD" w:rsidRPr="007F38A5">
        <w:rPr>
          <w:rFonts w:asciiTheme="minorHAnsi" w:hAnsiTheme="minorHAnsi" w:cstheme="minorHAnsi"/>
          <w:b/>
          <w:lang w:val="bs-Latn-BA"/>
        </w:rPr>
        <w:t xml:space="preserve"> primili bilo kakav vid finansi</w:t>
      </w:r>
      <w:r w:rsidRPr="007F38A5">
        <w:rPr>
          <w:rFonts w:asciiTheme="minorHAnsi" w:hAnsiTheme="minorHAnsi" w:cstheme="minorHAnsi"/>
          <w:b/>
          <w:lang w:val="bs-Latn-BA"/>
        </w:rPr>
        <w:t>j</w:t>
      </w:r>
      <w:r w:rsidR="00F33ECD" w:rsidRPr="007F38A5">
        <w:rPr>
          <w:rFonts w:asciiTheme="minorHAnsi" w:hAnsiTheme="minorHAnsi" w:cstheme="minorHAnsi"/>
          <w:b/>
          <w:lang w:val="bs-Latn-BA"/>
        </w:rPr>
        <w:t>s</w:t>
      </w:r>
      <w:r w:rsidRPr="007F38A5">
        <w:rPr>
          <w:rFonts w:asciiTheme="minorHAnsi" w:hAnsiTheme="minorHAnsi" w:cstheme="minorHAnsi"/>
          <w:b/>
          <w:lang w:val="bs-Latn-BA"/>
        </w:rPr>
        <w:t xml:space="preserve">ke podrške za oporavak od pandemije od Osnivača ili nekog nivoa vlasti: </w:t>
      </w:r>
      <w:r w:rsidR="00F33ECD" w:rsidRPr="007F38A5">
        <w:rPr>
          <w:rFonts w:asciiTheme="minorHAnsi" w:hAnsiTheme="minorHAnsi" w:cstheme="minorHAnsi"/>
          <w:lang w:val="bs-Latn-BA"/>
        </w:rPr>
        <w:t>Na</w:t>
      </w:r>
      <w:r w:rsidRPr="007F38A5">
        <w:rPr>
          <w:rFonts w:asciiTheme="minorHAnsi" w:hAnsiTheme="minorHAnsi" w:cstheme="minorHAnsi"/>
          <w:lang w:val="bs-Latn-BA"/>
        </w:rPr>
        <w:t>žalost prikupljeni i obrađeni odgovori po ovom pitanju su potvrdili kontinuitet odnosa osnivača ili nekog di</w:t>
      </w:r>
      <w:r w:rsidR="00F33ECD" w:rsidRPr="007F38A5">
        <w:rPr>
          <w:rFonts w:asciiTheme="minorHAnsi" w:hAnsiTheme="minorHAnsi" w:cstheme="minorHAnsi"/>
          <w:lang w:val="bs-Latn-BA"/>
        </w:rPr>
        <w:t>jela</w:t>
      </w:r>
      <w:r w:rsidRPr="007F38A5">
        <w:rPr>
          <w:rFonts w:asciiTheme="minorHAnsi" w:hAnsiTheme="minorHAnsi" w:cstheme="minorHAnsi"/>
          <w:lang w:val="bs-Latn-BA"/>
        </w:rPr>
        <w:t xml:space="preserve"> nivoa vlasti spram komunalne privrede koji nas prati godinama unazad. Iako smo se potajno nadali da će zbog ove izvanredne situacije ipak doći do promjene pristupa i odnosa, to se nije desilo, a potvrda toga je prikazana u sljedećem dijagramu:</w:t>
      </w:r>
    </w:p>
    <w:p w:rsidR="000F2A7C" w:rsidRPr="007F38A5" w:rsidRDefault="00CC7D49" w:rsidP="000F2A7C">
      <w:pPr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45181904" wp14:editId="48849900">
            <wp:simplePos x="0" y="0"/>
            <wp:positionH relativeFrom="margin">
              <wp:align>center</wp:align>
            </wp:positionH>
            <wp:positionV relativeFrom="paragraph">
              <wp:posOffset>131756</wp:posOffset>
            </wp:positionV>
            <wp:extent cx="3265457" cy="1980000"/>
            <wp:effectExtent l="0" t="0" r="0" b="1270"/>
            <wp:wrapTight wrapText="bothSides">
              <wp:wrapPolygon edited="0">
                <wp:start x="0" y="0"/>
                <wp:lineTo x="0" y="21406"/>
                <wp:lineTo x="21424" y="21406"/>
                <wp:lineTo x="21424" y="0"/>
                <wp:lineTo x="0" y="0"/>
              </wp:wrapPolygon>
            </wp:wrapTight>
            <wp:docPr id="8" name="Picture 8" descr="C:\Users\UPKP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KP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5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D49" w:rsidRPr="007F38A5" w:rsidRDefault="00CC7D49" w:rsidP="000F2A7C">
      <w:pPr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 </w:t>
      </w:r>
    </w:p>
    <w:p w:rsidR="000F2A7C" w:rsidRPr="007F38A5" w:rsidRDefault="000F2A7C" w:rsidP="000F2A7C">
      <w:pPr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0F2A7C">
      <w:pPr>
        <w:rPr>
          <w:rFonts w:asciiTheme="minorHAnsi" w:hAnsiTheme="minorHAnsi" w:cstheme="minorHAnsi"/>
          <w:lang w:val="bs-Latn-BA"/>
        </w:rPr>
      </w:pPr>
    </w:p>
    <w:p w:rsidR="00CC7D49" w:rsidRPr="007F38A5" w:rsidRDefault="00CC7D49" w:rsidP="000F2A7C">
      <w:pPr>
        <w:rPr>
          <w:rFonts w:asciiTheme="minorHAnsi" w:hAnsiTheme="minorHAnsi" w:cstheme="minorHAnsi"/>
          <w:lang w:val="bs-Latn-BA"/>
        </w:rPr>
      </w:pPr>
    </w:p>
    <w:p w:rsidR="00CC7D49" w:rsidRPr="007F38A5" w:rsidRDefault="00CC7D49" w:rsidP="000F2A7C">
      <w:pPr>
        <w:rPr>
          <w:rFonts w:asciiTheme="minorHAnsi" w:hAnsiTheme="minorHAnsi" w:cstheme="minorHAnsi"/>
          <w:lang w:val="bs-Latn-BA"/>
        </w:rPr>
      </w:pPr>
    </w:p>
    <w:p w:rsidR="00CC7D49" w:rsidRPr="007F38A5" w:rsidRDefault="00CC7D49" w:rsidP="000F2A7C">
      <w:pPr>
        <w:rPr>
          <w:rFonts w:asciiTheme="minorHAnsi" w:hAnsiTheme="minorHAnsi" w:cstheme="minorHAnsi"/>
          <w:lang w:val="bs-Latn-BA"/>
        </w:rPr>
      </w:pPr>
    </w:p>
    <w:p w:rsidR="00CC7D49" w:rsidRPr="007F38A5" w:rsidRDefault="00CC7D49" w:rsidP="000F2A7C">
      <w:pPr>
        <w:rPr>
          <w:rFonts w:asciiTheme="minorHAnsi" w:hAnsiTheme="minorHAnsi" w:cstheme="minorHAnsi"/>
          <w:lang w:val="bs-Latn-BA"/>
        </w:rPr>
      </w:pPr>
    </w:p>
    <w:p w:rsidR="00CC7D49" w:rsidRPr="007F38A5" w:rsidRDefault="00CC7D49" w:rsidP="000F2A7C">
      <w:pPr>
        <w:rPr>
          <w:rFonts w:asciiTheme="minorHAnsi" w:hAnsiTheme="minorHAnsi" w:cstheme="minorHAnsi"/>
          <w:lang w:val="bs-Latn-BA"/>
        </w:rPr>
      </w:pPr>
    </w:p>
    <w:p w:rsidR="00CC7D49" w:rsidRPr="007F38A5" w:rsidRDefault="00CC7D49" w:rsidP="000F2A7C">
      <w:pPr>
        <w:rPr>
          <w:rFonts w:asciiTheme="minorHAnsi" w:hAnsiTheme="minorHAnsi" w:cstheme="minorHAnsi"/>
          <w:lang w:val="bs-Latn-BA"/>
        </w:rPr>
      </w:pPr>
    </w:p>
    <w:p w:rsidR="00CC7D49" w:rsidRPr="007F38A5" w:rsidRDefault="00CC7D49" w:rsidP="000F2A7C">
      <w:pPr>
        <w:rPr>
          <w:rFonts w:asciiTheme="minorHAnsi" w:hAnsiTheme="minorHAnsi" w:cstheme="minorHAnsi"/>
          <w:lang w:val="bs-Latn-BA"/>
        </w:rPr>
      </w:pPr>
    </w:p>
    <w:p w:rsidR="00F33ECD" w:rsidRPr="007F38A5" w:rsidRDefault="00F33ECD" w:rsidP="00CC7D49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CC7D49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lastRenderedPageBreak/>
        <w:t>Kao dio upitnika, ostavljena je mogućnost da se članice Udruženja</w:t>
      </w:r>
      <w:r w:rsidR="00F33ECD" w:rsidRPr="007F38A5">
        <w:rPr>
          <w:rFonts w:asciiTheme="minorHAnsi" w:hAnsiTheme="minorHAnsi" w:cstheme="minorHAnsi"/>
          <w:lang w:val="bs-Latn-BA"/>
        </w:rPr>
        <w:t>/Udruge</w:t>
      </w:r>
      <w:r w:rsidRPr="007F38A5">
        <w:rPr>
          <w:rFonts w:asciiTheme="minorHAnsi" w:hAnsiTheme="minorHAnsi" w:cstheme="minorHAnsi"/>
          <w:lang w:val="bs-Latn-BA"/>
        </w:rPr>
        <w:t xml:space="preserve"> izjasne u formi prijedloga: šta je to što smatraju kao top izazovi, sa </w:t>
      </w:r>
      <w:r w:rsidR="00F33ECD" w:rsidRPr="007F38A5">
        <w:rPr>
          <w:rFonts w:asciiTheme="minorHAnsi" w:hAnsiTheme="minorHAnsi" w:cstheme="minorHAnsi"/>
          <w:lang w:val="bs-Latn-BA"/>
        </w:rPr>
        <w:t>k</w:t>
      </w:r>
      <w:r w:rsidRPr="007F38A5">
        <w:rPr>
          <w:rFonts w:asciiTheme="minorHAnsi" w:hAnsiTheme="minorHAnsi" w:cstheme="minorHAnsi"/>
          <w:lang w:val="bs-Latn-BA"/>
        </w:rPr>
        <w:t>ojima će se komunalna privreda suočiti u narednom period</w:t>
      </w:r>
      <w:r w:rsidR="00F33ECD" w:rsidRPr="007F38A5">
        <w:rPr>
          <w:rFonts w:asciiTheme="minorHAnsi" w:hAnsiTheme="minorHAnsi" w:cstheme="minorHAnsi"/>
          <w:lang w:val="bs-Latn-BA"/>
        </w:rPr>
        <w:t>u</w:t>
      </w:r>
      <w:r w:rsidRPr="007F38A5">
        <w:rPr>
          <w:rFonts w:asciiTheme="minorHAnsi" w:hAnsiTheme="minorHAnsi" w:cstheme="minorHAnsi"/>
          <w:lang w:val="bs-Latn-BA"/>
        </w:rPr>
        <w:t>. Nakon objedinjavanja svih pristiglih prijedloga i grupisanja istih, a v</w:t>
      </w:r>
      <w:r w:rsidR="00F33ECD" w:rsidRPr="007F38A5">
        <w:rPr>
          <w:rFonts w:asciiTheme="minorHAnsi" w:hAnsiTheme="minorHAnsi" w:cstheme="minorHAnsi"/>
          <w:lang w:val="bs-Latn-BA"/>
        </w:rPr>
        <w:t>odeći računa i o rezultatima an</w:t>
      </w:r>
      <w:r w:rsidRPr="007F38A5">
        <w:rPr>
          <w:rFonts w:asciiTheme="minorHAnsi" w:hAnsiTheme="minorHAnsi" w:cstheme="minorHAnsi"/>
          <w:lang w:val="bs-Latn-BA"/>
        </w:rPr>
        <w:t>kete po svim ostalim pitanjima, u nastavku je TOP 15 izazova:</w:t>
      </w:r>
    </w:p>
    <w:p w:rsidR="000F2A7C" w:rsidRPr="007F38A5" w:rsidRDefault="000F2A7C" w:rsidP="00CC7D49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Cijene komunalnih usluga ne oslikavaju troškove pružanja </w:t>
      </w:r>
      <w:r w:rsidR="00F33ECD" w:rsidRPr="007F38A5">
        <w:rPr>
          <w:rFonts w:asciiTheme="minorHAnsi" w:hAnsiTheme="minorHAnsi" w:cstheme="minorHAnsi"/>
          <w:lang w:val="bs-Latn-BA"/>
        </w:rPr>
        <w:t>tih usluga (neekonomska cijena);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Neadekvatna starosna i kvalifikaciona struktura uposlen</w:t>
      </w:r>
      <w:r w:rsidR="00F33ECD" w:rsidRPr="007F38A5">
        <w:rPr>
          <w:rFonts w:asciiTheme="minorHAnsi" w:hAnsiTheme="minorHAnsi" w:cstheme="minorHAnsi"/>
          <w:lang w:val="bs-Latn-BA"/>
        </w:rPr>
        <w:t>ika;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Nedefinisan status imovine kojom upravljaju </w:t>
      </w:r>
      <w:r w:rsidR="00F33ECD" w:rsidRPr="007F38A5">
        <w:rPr>
          <w:rFonts w:asciiTheme="minorHAnsi" w:hAnsiTheme="minorHAnsi" w:cstheme="minorHAnsi"/>
          <w:lang w:val="bs-Latn-BA"/>
        </w:rPr>
        <w:t>JKP;</w:t>
      </w:r>
      <w:r w:rsidRPr="007F38A5">
        <w:rPr>
          <w:rFonts w:asciiTheme="minorHAnsi" w:hAnsiTheme="minorHAnsi" w:cstheme="minorHAnsi"/>
          <w:lang w:val="bs-Latn-BA"/>
        </w:rPr>
        <w:t xml:space="preserve"> 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Odlazak BiH stanovništva u razvijenije zemlje – smanjenje obima korištenja komunalnih usluga</w:t>
      </w:r>
      <w:r w:rsidR="00F33ECD" w:rsidRPr="007F38A5">
        <w:rPr>
          <w:rFonts w:asciiTheme="minorHAnsi" w:hAnsiTheme="minorHAnsi" w:cstheme="minorHAnsi"/>
          <w:lang w:val="bs-Latn-BA"/>
        </w:rPr>
        <w:t>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Od</w:t>
      </w:r>
      <w:r w:rsidR="00F33ECD" w:rsidRPr="007F38A5">
        <w:rPr>
          <w:rFonts w:asciiTheme="minorHAnsi" w:hAnsiTheme="minorHAnsi" w:cstheme="minorHAnsi"/>
          <w:lang w:val="bs-Latn-BA"/>
        </w:rPr>
        <w:t xml:space="preserve">lazak mladih i obrazovanih iz Bosne i </w:t>
      </w:r>
      <w:r w:rsidRPr="007F38A5">
        <w:rPr>
          <w:rFonts w:asciiTheme="minorHAnsi" w:hAnsiTheme="minorHAnsi" w:cstheme="minorHAnsi"/>
          <w:lang w:val="bs-Latn-BA"/>
        </w:rPr>
        <w:t>H</w:t>
      </w:r>
      <w:r w:rsidR="00F33ECD" w:rsidRPr="007F38A5">
        <w:rPr>
          <w:rFonts w:asciiTheme="minorHAnsi" w:hAnsiTheme="minorHAnsi" w:cstheme="minorHAnsi"/>
          <w:lang w:val="bs-Latn-BA"/>
        </w:rPr>
        <w:t>ercegovine</w:t>
      </w:r>
      <w:r w:rsidRPr="007F38A5">
        <w:rPr>
          <w:rFonts w:asciiTheme="minorHAnsi" w:hAnsiTheme="minorHAnsi" w:cstheme="minorHAnsi"/>
          <w:lang w:val="bs-Latn-BA"/>
        </w:rPr>
        <w:t xml:space="preserve"> – nemogućnost obezbjeđenja kvalifikovane i edukovane radne snage</w:t>
      </w:r>
      <w:r w:rsidR="00F33ECD" w:rsidRPr="007F38A5">
        <w:rPr>
          <w:rFonts w:asciiTheme="minorHAnsi" w:hAnsiTheme="minorHAnsi" w:cstheme="minorHAnsi"/>
          <w:lang w:val="bs-Latn-BA"/>
        </w:rPr>
        <w:t>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Poskupljenje energenata i vodo materijal</w:t>
      </w:r>
      <w:r w:rsidR="00F33ECD" w:rsidRPr="007F38A5">
        <w:rPr>
          <w:rFonts w:asciiTheme="minorHAnsi" w:hAnsiTheme="minorHAnsi" w:cstheme="minorHAnsi"/>
          <w:lang w:val="bs-Latn-BA"/>
        </w:rPr>
        <w:t xml:space="preserve">a, kao i drugih materijala koje </w:t>
      </w:r>
      <w:r w:rsidRPr="007F38A5">
        <w:rPr>
          <w:rFonts w:asciiTheme="minorHAnsi" w:hAnsiTheme="minorHAnsi" w:cstheme="minorHAnsi"/>
          <w:lang w:val="bs-Latn-BA"/>
        </w:rPr>
        <w:t>koriste</w:t>
      </w:r>
      <w:r w:rsidR="00F33ECD" w:rsidRPr="007F38A5">
        <w:rPr>
          <w:rFonts w:asciiTheme="minorHAnsi" w:hAnsiTheme="minorHAnsi" w:cstheme="minorHAnsi"/>
          <w:lang w:val="bs-Latn-BA"/>
        </w:rPr>
        <w:t xml:space="preserve"> JKP;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Nedovoljna platežna moć stanovništva</w:t>
      </w:r>
      <w:r w:rsidR="00F33ECD" w:rsidRPr="007F38A5">
        <w:rPr>
          <w:rFonts w:asciiTheme="minorHAnsi" w:hAnsiTheme="minorHAnsi" w:cstheme="minorHAnsi"/>
          <w:lang w:val="bs-Latn-BA"/>
        </w:rPr>
        <w:t>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 xml:space="preserve">Nepovoljne odredbe zakona o JN i PDV-u po </w:t>
      </w:r>
      <w:r w:rsidR="00F33ECD" w:rsidRPr="007F38A5">
        <w:rPr>
          <w:rFonts w:asciiTheme="minorHAnsi" w:hAnsiTheme="minorHAnsi" w:cstheme="minorHAnsi"/>
          <w:lang w:val="bs-Latn-BA"/>
        </w:rPr>
        <w:t>JKP;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Neadekvatna zaštita šuma, rijeka i vodozaštitnih zona u užem i širem smislu</w:t>
      </w:r>
      <w:r w:rsidR="00F33ECD" w:rsidRPr="007F38A5">
        <w:rPr>
          <w:rFonts w:asciiTheme="minorHAnsi" w:hAnsiTheme="minorHAnsi" w:cstheme="minorHAnsi"/>
          <w:lang w:val="bs-Latn-BA"/>
        </w:rPr>
        <w:t>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Nedovoljna informatičko-tehnološka opremljenost i edukovanost uposlenika JKP</w:t>
      </w:r>
      <w:r w:rsidR="00F33ECD" w:rsidRPr="007F38A5">
        <w:rPr>
          <w:rFonts w:asciiTheme="minorHAnsi" w:hAnsiTheme="minorHAnsi" w:cstheme="minorHAnsi"/>
          <w:lang w:val="bs-Latn-BA"/>
        </w:rPr>
        <w:t>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Nedovoljna izdvajanja osnivača i svih nivoa vlasti kroz grantove i javne pozive</w:t>
      </w:r>
      <w:r w:rsidR="00F33ECD" w:rsidRPr="007F38A5">
        <w:rPr>
          <w:rFonts w:asciiTheme="minorHAnsi" w:hAnsiTheme="minorHAnsi" w:cstheme="minorHAnsi"/>
          <w:lang w:val="bs-Latn-BA"/>
        </w:rPr>
        <w:t>,</w:t>
      </w:r>
      <w:r w:rsidRPr="007F38A5">
        <w:rPr>
          <w:rFonts w:asciiTheme="minorHAnsi" w:hAnsiTheme="minorHAnsi" w:cstheme="minorHAnsi"/>
          <w:lang w:val="bs-Latn-BA"/>
        </w:rPr>
        <w:t xml:space="preserve"> a za potrebe JKP</w:t>
      </w:r>
      <w:r w:rsidR="00F33ECD" w:rsidRPr="007F38A5">
        <w:rPr>
          <w:rFonts w:asciiTheme="minorHAnsi" w:hAnsiTheme="minorHAnsi" w:cstheme="minorHAnsi"/>
          <w:lang w:val="bs-Latn-BA"/>
        </w:rPr>
        <w:t>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Neadekvatna primjena zakonskih i podzakonskih akata od strane tijela za nadzor i monitoring</w:t>
      </w:r>
      <w:r w:rsidR="00F33ECD" w:rsidRPr="007F38A5">
        <w:rPr>
          <w:rFonts w:asciiTheme="minorHAnsi" w:hAnsiTheme="minorHAnsi" w:cstheme="minorHAnsi"/>
          <w:lang w:val="bs-Latn-BA"/>
        </w:rPr>
        <w:t>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Nedovoljno uređena oblast odlaganja/zbrinjavanja otpada; nedovoljan monitoring provedbe propisa</w:t>
      </w:r>
      <w:r w:rsidR="00F33ECD" w:rsidRPr="007F38A5">
        <w:rPr>
          <w:rFonts w:asciiTheme="minorHAnsi" w:hAnsiTheme="minorHAnsi" w:cstheme="minorHAnsi"/>
          <w:lang w:val="bs-Latn-BA"/>
        </w:rPr>
        <w:t>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Nemogućnost naplate svih potraživanja zbog brze zastare – 1 godina</w:t>
      </w:r>
      <w:r w:rsidR="00F33ECD" w:rsidRPr="007F38A5">
        <w:rPr>
          <w:rFonts w:asciiTheme="minorHAnsi" w:hAnsiTheme="minorHAnsi" w:cstheme="minorHAnsi"/>
          <w:lang w:val="bs-Latn-BA"/>
        </w:rPr>
        <w:t>;</w:t>
      </w:r>
    </w:p>
    <w:p w:rsidR="000F2A7C" w:rsidRPr="007F38A5" w:rsidRDefault="000F2A7C" w:rsidP="00CC7D4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Sveukupne političke i socijalno-ekonomske prilike ne daju poseban optimizam</w:t>
      </w:r>
      <w:r w:rsidR="00F33ECD" w:rsidRPr="007F38A5">
        <w:rPr>
          <w:rFonts w:asciiTheme="minorHAnsi" w:hAnsiTheme="minorHAnsi" w:cstheme="minorHAnsi"/>
          <w:lang w:val="bs-Latn-BA"/>
        </w:rPr>
        <w:t>.</w:t>
      </w:r>
    </w:p>
    <w:p w:rsidR="000F2A7C" w:rsidRPr="007F38A5" w:rsidRDefault="000F2A7C" w:rsidP="000F2A7C">
      <w:pPr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CC7D49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Shodno prethodno navedenom, a isto je ponavljano od više preduzeća po više puta, da se zaključiti da komunalnu privredu i djelatnosti kojima se bavimo čekao iz</w:t>
      </w:r>
      <w:r w:rsidR="00CC7D49" w:rsidRPr="007F38A5">
        <w:rPr>
          <w:rFonts w:asciiTheme="minorHAnsi" w:hAnsiTheme="minorHAnsi" w:cstheme="minorHAnsi"/>
          <w:lang w:val="bs-Latn-BA"/>
        </w:rPr>
        <w:t>u</w:t>
      </w:r>
      <w:r w:rsidRPr="007F38A5">
        <w:rPr>
          <w:rFonts w:asciiTheme="minorHAnsi" w:hAnsiTheme="minorHAnsi" w:cstheme="minorHAnsi"/>
          <w:lang w:val="bs-Latn-BA"/>
        </w:rPr>
        <w:t>zetno turbulentno vrijeme, sa mnogo izazova i neizvjesnosti. Ali b</w:t>
      </w:r>
      <w:r w:rsidR="00E845FF">
        <w:rPr>
          <w:rFonts w:asciiTheme="minorHAnsi" w:hAnsiTheme="minorHAnsi" w:cstheme="minorHAnsi"/>
          <w:lang w:val="bs-Latn-BA"/>
        </w:rPr>
        <w:t>e</w:t>
      </w:r>
      <w:r w:rsidRPr="007F38A5">
        <w:rPr>
          <w:rFonts w:asciiTheme="minorHAnsi" w:hAnsiTheme="minorHAnsi" w:cstheme="minorHAnsi"/>
          <w:lang w:val="bs-Latn-BA"/>
        </w:rPr>
        <w:t xml:space="preserve">z obzira na sve to, komunalna preduzeća će nastaviti davati svoj maksimum i nastojati ispunjavanjavati zahtjeve vezane za djelatnost koju obavljaju. </w:t>
      </w:r>
    </w:p>
    <w:p w:rsidR="000F2A7C" w:rsidRPr="007F38A5" w:rsidRDefault="000F2A7C" w:rsidP="00CC7D49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CC7D49">
      <w:p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Stručni tim na kraju ove obrađene teme, predlaže Skupštini donošenje sljedećih zaključaka:</w:t>
      </w:r>
    </w:p>
    <w:p w:rsidR="00CC7D49" w:rsidRPr="007F38A5" w:rsidRDefault="00CC7D49" w:rsidP="00CC7D49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CC7D4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Skupština potvrđuje top 15 pitanja kao listu prioriteta za djelovanje i rad UO, Pododbora i radnih timova u narednoj g</w:t>
      </w:r>
      <w:r w:rsidR="00F33ECD" w:rsidRPr="007F38A5">
        <w:rPr>
          <w:rFonts w:asciiTheme="minorHAnsi" w:hAnsiTheme="minorHAnsi" w:cstheme="minorHAnsi"/>
          <w:lang w:val="bs-Latn-BA"/>
        </w:rPr>
        <w:t>odini, pored ostalih aktivnosti;</w:t>
      </w:r>
    </w:p>
    <w:p w:rsidR="000F2A7C" w:rsidRPr="007F38A5" w:rsidRDefault="000F2A7C" w:rsidP="00CC7D4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Skupština zadužuje UO da adekvatno rasporedi zaduženja po svakom prioritetu na pododbore, radne timove, stručnu službu ili pojedince</w:t>
      </w:r>
      <w:r w:rsidR="00F33ECD" w:rsidRPr="007F38A5">
        <w:rPr>
          <w:rFonts w:asciiTheme="minorHAnsi" w:hAnsiTheme="minorHAnsi" w:cstheme="minorHAnsi"/>
          <w:lang w:val="bs-Latn-BA"/>
        </w:rPr>
        <w:t>, te da prati realizaciju istih;</w:t>
      </w:r>
    </w:p>
    <w:p w:rsidR="000F2A7C" w:rsidRPr="007F38A5" w:rsidRDefault="000F2A7C" w:rsidP="00CC7D4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lang w:val="bs-Latn-BA"/>
        </w:rPr>
      </w:pPr>
      <w:r w:rsidRPr="007F38A5">
        <w:rPr>
          <w:rFonts w:asciiTheme="minorHAnsi" w:hAnsiTheme="minorHAnsi" w:cstheme="minorHAnsi"/>
          <w:lang w:val="bs-Latn-BA"/>
        </w:rPr>
        <w:t>Svi zaduženi treba da kontinuirano u saradnji i koordinaciji sa članicama Udruženja</w:t>
      </w:r>
      <w:r w:rsidR="00F33ECD" w:rsidRPr="007F38A5">
        <w:rPr>
          <w:rFonts w:asciiTheme="minorHAnsi" w:hAnsiTheme="minorHAnsi" w:cstheme="minorHAnsi"/>
          <w:lang w:val="bs-Latn-BA"/>
        </w:rPr>
        <w:t>/Udruge</w:t>
      </w:r>
      <w:r w:rsidRPr="007F38A5">
        <w:rPr>
          <w:rFonts w:asciiTheme="minorHAnsi" w:hAnsiTheme="minorHAnsi" w:cstheme="minorHAnsi"/>
          <w:lang w:val="bs-Latn-BA"/>
        </w:rPr>
        <w:t xml:space="preserve"> rade na realizaciji svakog pitanja, i </w:t>
      </w:r>
      <w:r w:rsidR="00F33ECD" w:rsidRPr="007F38A5">
        <w:rPr>
          <w:rFonts w:asciiTheme="minorHAnsi" w:hAnsiTheme="minorHAnsi" w:cstheme="minorHAnsi"/>
          <w:lang w:val="bs-Latn-BA"/>
        </w:rPr>
        <w:t>da izvještava UO na sjednicama.</w:t>
      </w:r>
    </w:p>
    <w:p w:rsidR="000F2A7C" w:rsidRPr="007F38A5" w:rsidRDefault="000F2A7C" w:rsidP="00CC7D49">
      <w:pPr>
        <w:jc w:val="both"/>
        <w:rPr>
          <w:rFonts w:asciiTheme="minorHAnsi" w:hAnsiTheme="minorHAnsi" w:cstheme="minorHAnsi"/>
          <w:lang w:val="bs-Latn-BA"/>
        </w:rPr>
      </w:pPr>
    </w:p>
    <w:p w:rsidR="000F2A7C" w:rsidRPr="007F38A5" w:rsidRDefault="000F2A7C" w:rsidP="00CC7D49">
      <w:pPr>
        <w:jc w:val="both"/>
        <w:rPr>
          <w:rFonts w:asciiTheme="minorHAnsi" w:hAnsiTheme="minorHAnsi" w:cstheme="minorHAnsi"/>
          <w:lang w:val="bs-Latn-BA"/>
        </w:rPr>
      </w:pPr>
    </w:p>
    <w:p w:rsidR="00CC7D49" w:rsidRPr="007F38A5" w:rsidRDefault="00CC7D49" w:rsidP="00CC7D49">
      <w:pPr>
        <w:jc w:val="right"/>
        <w:rPr>
          <w:rFonts w:asciiTheme="minorHAnsi" w:hAnsiTheme="minorHAnsi" w:cstheme="minorHAnsi"/>
          <w:lang w:val="bs-Latn-BA"/>
        </w:rPr>
      </w:pPr>
    </w:p>
    <w:p w:rsidR="00CA717C" w:rsidRPr="007F38A5" w:rsidRDefault="00CA717C" w:rsidP="00CC7D49">
      <w:pPr>
        <w:jc w:val="both"/>
        <w:rPr>
          <w:rFonts w:asciiTheme="minorHAnsi" w:hAnsiTheme="minorHAnsi" w:cstheme="minorHAnsi"/>
          <w:lang w:val="bs-Latn-BA"/>
        </w:rPr>
      </w:pPr>
      <w:bookmarkStart w:id="0" w:name="_GoBack"/>
      <w:bookmarkEnd w:id="0"/>
    </w:p>
    <w:p w:rsidR="0048774A" w:rsidRPr="007F38A5" w:rsidRDefault="0048774A" w:rsidP="00CA717C">
      <w:pPr>
        <w:rPr>
          <w:rFonts w:asciiTheme="minorHAnsi" w:hAnsiTheme="minorHAnsi" w:cstheme="minorHAnsi"/>
          <w:lang w:val="bs-Latn-BA"/>
        </w:rPr>
      </w:pPr>
    </w:p>
    <w:sectPr w:rsidR="0048774A" w:rsidRPr="007F38A5" w:rsidSect="007F38A5">
      <w:footerReference w:type="default" r:id="rId17"/>
      <w:pgSz w:w="11906" w:h="16838"/>
      <w:pgMar w:top="567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67" w:rsidRDefault="00CB7567" w:rsidP="004F1312">
      <w:r>
        <w:separator/>
      </w:r>
    </w:p>
  </w:endnote>
  <w:endnote w:type="continuationSeparator" w:id="0">
    <w:p w:rsidR="00CB7567" w:rsidRDefault="00CB7567" w:rsidP="004F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84577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ECD" w:rsidRPr="00F33ECD" w:rsidRDefault="00F33ECD">
        <w:pPr>
          <w:pStyle w:val="Footer"/>
          <w:jc w:val="right"/>
          <w:rPr>
            <w:rFonts w:asciiTheme="minorHAnsi" w:hAnsiTheme="minorHAnsi" w:cstheme="minorHAnsi"/>
          </w:rPr>
        </w:pPr>
        <w:r w:rsidRPr="00F33ECD">
          <w:rPr>
            <w:rFonts w:asciiTheme="minorHAnsi" w:hAnsiTheme="minorHAnsi" w:cstheme="minorHAnsi"/>
          </w:rPr>
          <w:fldChar w:fldCharType="begin"/>
        </w:r>
        <w:r w:rsidRPr="00F33ECD">
          <w:rPr>
            <w:rFonts w:asciiTheme="minorHAnsi" w:hAnsiTheme="minorHAnsi" w:cstheme="minorHAnsi"/>
          </w:rPr>
          <w:instrText xml:space="preserve"> PAGE   \* MERGEFORMAT </w:instrText>
        </w:r>
        <w:r w:rsidRPr="00F33ECD">
          <w:rPr>
            <w:rFonts w:asciiTheme="minorHAnsi" w:hAnsiTheme="minorHAnsi" w:cstheme="minorHAnsi"/>
          </w:rPr>
          <w:fldChar w:fldCharType="separate"/>
        </w:r>
        <w:r w:rsidR="009C3AC1">
          <w:rPr>
            <w:rFonts w:asciiTheme="minorHAnsi" w:hAnsiTheme="minorHAnsi" w:cstheme="minorHAnsi"/>
            <w:noProof/>
          </w:rPr>
          <w:t>5</w:t>
        </w:r>
        <w:r w:rsidRPr="00F33ECD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67" w:rsidRDefault="00CB7567" w:rsidP="004F1312">
      <w:r>
        <w:separator/>
      </w:r>
    </w:p>
  </w:footnote>
  <w:footnote w:type="continuationSeparator" w:id="0">
    <w:p w:rsidR="00CB7567" w:rsidRDefault="00CB7567" w:rsidP="004F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123"/>
    <w:multiLevelType w:val="hybridMultilevel"/>
    <w:tmpl w:val="4CE44CBC"/>
    <w:lvl w:ilvl="0" w:tplc="B99055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6102"/>
    <w:multiLevelType w:val="hybridMultilevel"/>
    <w:tmpl w:val="C06A3E16"/>
    <w:lvl w:ilvl="0" w:tplc="B99055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7361"/>
    <w:multiLevelType w:val="hybridMultilevel"/>
    <w:tmpl w:val="3B5C858A"/>
    <w:lvl w:ilvl="0" w:tplc="85A0BC7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513CA3"/>
    <w:multiLevelType w:val="hybridMultilevel"/>
    <w:tmpl w:val="D96A73F4"/>
    <w:lvl w:ilvl="0" w:tplc="B99055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F2F53"/>
    <w:multiLevelType w:val="hybridMultilevel"/>
    <w:tmpl w:val="7062CC4C"/>
    <w:lvl w:ilvl="0" w:tplc="B99055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0D2"/>
    <w:multiLevelType w:val="hybridMultilevel"/>
    <w:tmpl w:val="BDD2956E"/>
    <w:lvl w:ilvl="0" w:tplc="B99055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F2D61"/>
    <w:multiLevelType w:val="hybridMultilevel"/>
    <w:tmpl w:val="0B7266B4"/>
    <w:lvl w:ilvl="0" w:tplc="7F80C9B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844DA"/>
    <w:multiLevelType w:val="hybridMultilevel"/>
    <w:tmpl w:val="1F2C46F8"/>
    <w:lvl w:ilvl="0" w:tplc="851A9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E799A"/>
    <w:multiLevelType w:val="hybridMultilevel"/>
    <w:tmpl w:val="6E38DDC6"/>
    <w:lvl w:ilvl="0" w:tplc="B99055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5C30"/>
    <w:multiLevelType w:val="hybridMultilevel"/>
    <w:tmpl w:val="9EF8FA20"/>
    <w:lvl w:ilvl="0" w:tplc="D988C554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6F178A"/>
    <w:multiLevelType w:val="multilevel"/>
    <w:tmpl w:val="241A7A4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1800"/>
      </w:pPr>
      <w:rPr>
        <w:rFonts w:hint="default"/>
      </w:rPr>
    </w:lvl>
  </w:abstractNum>
  <w:abstractNum w:abstractNumId="11" w15:restartNumberingAfterBreak="0">
    <w:nsid w:val="7CAB6FDC"/>
    <w:multiLevelType w:val="hybridMultilevel"/>
    <w:tmpl w:val="D6F8657E"/>
    <w:lvl w:ilvl="0" w:tplc="EFCE3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C766B"/>
    <w:multiLevelType w:val="hybridMultilevel"/>
    <w:tmpl w:val="726054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69"/>
    <w:rsid w:val="000B6FA5"/>
    <w:rsid w:val="000F006A"/>
    <w:rsid w:val="000F2A7C"/>
    <w:rsid w:val="00114B9D"/>
    <w:rsid w:val="001B0529"/>
    <w:rsid w:val="00374B71"/>
    <w:rsid w:val="00392309"/>
    <w:rsid w:val="0048774A"/>
    <w:rsid w:val="004B44E0"/>
    <w:rsid w:val="004B7144"/>
    <w:rsid w:val="004F1312"/>
    <w:rsid w:val="004F5054"/>
    <w:rsid w:val="00501E0E"/>
    <w:rsid w:val="00532B2D"/>
    <w:rsid w:val="005F6884"/>
    <w:rsid w:val="00633569"/>
    <w:rsid w:val="00642ACB"/>
    <w:rsid w:val="0075690C"/>
    <w:rsid w:val="007F38A5"/>
    <w:rsid w:val="00827906"/>
    <w:rsid w:val="009157C5"/>
    <w:rsid w:val="009329E0"/>
    <w:rsid w:val="009C3AC1"/>
    <w:rsid w:val="009E5C27"/>
    <w:rsid w:val="00A54159"/>
    <w:rsid w:val="00A919D5"/>
    <w:rsid w:val="00A95C47"/>
    <w:rsid w:val="00B669AA"/>
    <w:rsid w:val="00BC195B"/>
    <w:rsid w:val="00BF0E13"/>
    <w:rsid w:val="00CA717C"/>
    <w:rsid w:val="00CB7567"/>
    <w:rsid w:val="00CB7D37"/>
    <w:rsid w:val="00CC7D49"/>
    <w:rsid w:val="00D77D42"/>
    <w:rsid w:val="00DB2F7C"/>
    <w:rsid w:val="00DF6EA3"/>
    <w:rsid w:val="00E845FF"/>
    <w:rsid w:val="00F33ECD"/>
    <w:rsid w:val="00FC5E53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6E3F3F-93AD-437B-8DBC-3791F862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69"/>
    <w:rPr>
      <w:rFonts w:ascii="Segoe UI" w:hAnsi="Segoe UI" w:cs="Segoe UI"/>
      <w:sz w:val="18"/>
      <w:szCs w:val="18"/>
    </w:rPr>
  </w:style>
  <w:style w:type="character" w:styleId="Hyperlink">
    <w:name w:val="Hyperlink"/>
    <w:rsid w:val="00633569"/>
    <w:rPr>
      <w:color w:val="0000FF"/>
      <w:u w:val="single"/>
    </w:rPr>
  </w:style>
  <w:style w:type="paragraph" w:styleId="ListParagraph">
    <w:name w:val="List Paragraph"/>
    <w:aliases w:val="List Paragraph (numbered (a)),List Paragraph11,List of tables"/>
    <w:basedOn w:val="Normal"/>
    <w:link w:val="ListParagraphChar"/>
    <w:uiPriority w:val="34"/>
    <w:qFormat/>
    <w:rsid w:val="00BF0E13"/>
    <w:pPr>
      <w:ind w:left="720"/>
    </w:pPr>
    <w:rPr>
      <w:lang w:val="en-US" w:eastAsia="en-US"/>
    </w:rPr>
  </w:style>
  <w:style w:type="character" w:customStyle="1" w:styleId="ListParagraphChar">
    <w:name w:val="List Paragraph Char"/>
    <w:aliases w:val="List Paragraph (numbered (a)) Char,List Paragraph11 Char,List of tables Char"/>
    <w:link w:val="ListParagraph"/>
    <w:uiPriority w:val="34"/>
    <w:rsid w:val="00BF0E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 1"/>
    <w:basedOn w:val="NoSpacing"/>
    <w:qFormat/>
    <w:rsid w:val="000F006A"/>
    <w:pPr>
      <w:tabs>
        <w:tab w:val="left" w:pos="5625"/>
      </w:tabs>
      <w:jc w:val="both"/>
    </w:pPr>
    <w:rPr>
      <w:rFonts w:eastAsiaTheme="minorEastAsia" w:cstheme="minorBidi"/>
      <w:szCs w:val="22"/>
      <w:lang w:val="hr-BA" w:eastAsia="hr-BA"/>
    </w:rPr>
  </w:style>
  <w:style w:type="character" w:customStyle="1" w:styleId="Style1Char">
    <w:name w:val="Style1 Char"/>
    <w:basedOn w:val="DefaultParagraphFont"/>
    <w:link w:val="Style10"/>
    <w:locked/>
    <w:rsid w:val="000F006A"/>
    <w:rPr>
      <w:rFonts w:ascii="Times New Roman" w:hAnsi="Times New Roman" w:cs="Times New Roman"/>
      <w:sz w:val="24"/>
    </w:rPr>
  </w:style>
  <w:style w:type="paragraph" w:customStyle="1" w:styleId="Style10">
    <w:name w:val="Style1"/>
    <w:basedOn w:val="NoSpacing"/>
    <w:link w:val="Style1Char"/>
    <w:qFormat/>
    <w:rsid w:val="000F006A"/>
    <w:pPr>
      <w:jc w:val="both"/>
    </w:pPr>
    <w:rPr>
      <w:rFonts w:eastAsiaTheme="minorHAnsi"/>
      <w:szCs w:val="22"/>
      <w:lang w:eastAsia="en-US"/>
    </w:rPr>
  </w:style>
  <w:style w:type="table" w:styleId="TableGrid">
    <w:name w:val="Table Grid"/>
    <w:basedOn w:val="TableNormal"/>
    <w:uiPriority w:val="59"/>
    <w:rsid w:val="000F006A"/>
    <w:pPr>
      <w:spacing w:after="0" w:line="240" w:lineRule="auto"/>
    </w:pPr>
    <w:rPr>
      <w:rFonts w:eastAsiaTheme="minorEastAsia"/>
      <w:lang w:val="hr-BA" w:eastAsia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F13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3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F13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31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upkp.com.b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pkp@bih.net.b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7E84-D445-4AE4-8A98-790514B3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UPKP</dc:creator>
  <cp:keywords/>
  <dc:description/>
  <cp:lastModifiedBy>UPKP</cp:lastModifiedBy>
  <cp:revision>6</cp:revision>
  <cp:lastPrinted>2021-06-16T07:17:00Z</cp:lastPrinted>
  <dcterms:created xsi:type="dcterms:W3CDTF">2021-11-29T12:46:00Z</dcterms:created>
  <dcterms:modified xsi:type="dcterms:W3CDTF">2021-12-24T08:06:00Z</dcterms:modified>
</cp:coreProperties>
</file>